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ESCOLA MUNICIPAL DE MÚSICA  DE BENISSANET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4549140</wp:posOffset>
                </wp:positionH>
                <wp:positionV relativeFrom="paragraph">
                  <wp:posOffset>-802004</wp:posOffset>
                </wp:positionV>
                <wp:extent cx="1152525" cy="16002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002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4549140</wp:posOffset>
                </wp:positionH>
                <wp:positionV relativeFrom="paragraph">
                  <wp:posOffset>-802004</wp:posOffset>
                </wp:positionV>
                <wp:extent cx="1152525" cy="1600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ALUMNE:</w:t>
      </w:r>
      <w:r w:rsidDel="00000000" w:rsidR="00000000" w:rsidRPr="00000000">
        <w:rPr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NOM:___________________________________________________________________________________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COGNOMS:_____________________________________________________________________________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DNI__________________________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DE NAIXEMENT_____________________LLOC:_______________________________________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NACIONALITAT:_________________________________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I COGNOMS PARE_________________________________________DNI____________________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I COGNOMS MARE_________________________________________DNI___________________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ADREÇA________________________________________POBLACIÓ ____________________________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Correu electrònic________________________________________________________________________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TELÈFONS DE CONTACTE:  CASA______________________________________________________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1A">
      <w:pPr>
        <w:ind w:left="2832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MÒBILS___________________________________________________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NÚM. DE COMPTE (IBAN)_______________________________________________________________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CURS___________________________________________________________________________________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Benissanet,_______________d________________________20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Signatura,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DOCUMENTACIÓ A APORTAR:</w:t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fotografia tamany carnet</w:t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Fotocopia del DNI de l’alumne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Fotocopia del DNI dels pares</w: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Fotocòpia núm. de compte bancari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També els hi comunico que l’ordenança fiscal núm. 30  per la prestació del servei d’assistència a l’Escola de Música Municipal de Benissanet, entre altres punts diu:</w:t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“Segons l’article 4 de l’ordenança la Matrícula: Es cobrarà a començament de cada curs i serà l’import d’una mensualitat d’acord amb l’especialitat que hagi triat cada alumne. Si la matrícula no es fa efectiva, no es podrà començar les classes</w:t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Llibres i material: Van a càrrec dels pares dels alumnes i es posaran al cobrament quant es generi la factura.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Plus desplaçament: Es cobrarà als alumnes d’altres municipis diferents al de Benissanet pel preu fixat a l’apartat de mensualitat.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Els alumnes estan obligats a pagar totes les assignatures, excepte instrument, per trimestres vençuts, encara que es donin de baixa durant el trimestre.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Els alumnes d’instrument estan obligats a pagar tot el curs, encara que es doni de baixa durant l’any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En cas excepcional , que seran analitzats particularment, no es tindrà en compte l’establert en els 2 paràgrafs anteriors, i es cobrarà fins el dia que causin baixa.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3-L’obligació de pagament de la taxa regulada en aquesta Ordenança neix des de el moment que l’alumne es matriculi a l’Escola de Música Municipal.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4- El pagament de la taxa per aquest servei s’efectuarà mensualment, durant els primers </w:t>
      </w:r>
      <w:r w:rsidDel="00000000" w:rsidR="00000000" w:rsidRPr="00000000">
        <w:rPr>
          <w:b w:val="1"/>
          <w:vertAlign w:val="baseline"/>
          <w:rtl w:val="0"/>
        </w:rPr>
        <w:t xml:space="preserve">cinc dies de cada mes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ESCOLA MUNICIPAL DE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FULL DE MODIFICACIÓ DE DADES CURS 20   /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ALUMNE:</w:t>
      </w:r>
      <w:r w:rsidDel="00000000" w:rsidR="00000000" w:rsidRPr="00000000">
        <w:rPr>
          <w:vertAlign w:val="baseline"/>
          <w:rtl w:val="0"/>
        </w:rPr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Nom: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Cognoms: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Canvi de Curs:________________________________________________________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Canvi d’Instrument:__________________________________________________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Canvi Dades Bancàries:_______________________________________________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Baixa:_________________________________________________________________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ALTRES CAU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A PARTIR DE LA QUAL ES COMENÇARÀ A APLICAR LA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MODIFICACIÓ: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</w:t>
        <w:tab/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(Cal aportar fotocòpia del canvi de les dades bancàries)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247" w:top="1701" w:left="1191" w:right="11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  <w:font w:name="Georgia"/>
  <w:font w:name="Batang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972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20"/>
      <w:gridCol w:w="3780"/>
      <w:gridCol w:w="2520"/>
      <w:gridCol w:w="1980"/>
      <w:tblGridChange w:id="0">
        <w:tblGrid>
          <w:gridCol w:w="2520"/>
          <w:gridCol w:w="3780"/>
          <w:gridCol w:w="2520"/>
          <w:gridCol w:w="1980"/>
        </w:tblGrid>
      </w:tblGridChange>
    </w:tblGrid>
    <w:tr>
      <w:trPr>
        <w:trHeight w:val="346" w:hRule="atLeast"/>
      </w:trPr>
      <w:tc>
        <w:tcPr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C/ Bonaire,2</w:t>
          </w:r>
        </w:p>
      </w:tc>
      <w:tc>
        <w:tcPr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43747 Benissanet</w:t>
          </w:r>
        </w:p>
      </w:tc>
      <w:tc>
        <w:tcPr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977 407 005</w:t>
          </w:r>
        </w:p>
      </w:tc>
      <w:tc>
        <w:tcP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Fax 977 407 405</w:t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32.0" w:type="dxa"/>
      <w:jc w:val="left"/>
      <w:tblInd w:w="-612.0" w:type="dxa"/>
      <w:tblLayout w:type="fixed"/>
      <w:tblLook w:val="0000"/>
    </w:tblPr>
    <w:tblGrid>
      <w:gridCol w:w="1451"/>
      <w:gridCol w:w="7881"/>
      <w:tblGridChange w:id="0">
        <w:tblGrid>
          <w:gridCol w:w="1451"/>
          <w:gridCol w:w="7881"/>
        </w:tblGrid>
      </w:tblGridChange>
    </w:tblGrid>
    <w:tr>
      <w:trPr>
        <w:trHeight w:val="719" w:hRule="atLeast"/>
      </w:trPr>
      <w:tc>
        <w:tcPr>
          <w:vMerge w:val="restart"/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84225" cy="90614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906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atang" w:cs="Batang" w:eastAsia="Batang" w:hAnsi="Batang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atang" w:cs="Batang" w:eastAsia="Batang" w:hAnsi="Batang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Ajuntament de Benissanet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vAlign w:val="top"/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Batang" w:cs="Batang" w:eastAsia="Batang" w:hAnsi="Batang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Ribera d’Ebre</w:t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